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Сообщение о существенном факте</w:t>
      </w: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о проведении заседания совета директоров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наблюдательного совета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 xml:space="preserve">и его повестке дня </w:t>
      </w:r>
    </w:p>
    <w:p>
      <w:pPr>
        <w:pStyle w:val="Обычный"/>
        <w:jc w:val="center"/>
        <w:rPr>
          <w:b w:val="1"/>
          <w:bCs w:val="1"/>
          <w:sz w:val="18"/>
          <w:szCs w:val="18"/>
        </w:rPr>
      </w:pPr>
    </w:p>
    <w:tbl>
      <w:tblPr>
        <w:tblW w:w="1063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75"/>
        <w:gridCol w:w="5657"/>
      </w:tblGrid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0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</w:rPr>
              <w:t>Общие сведения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Обычный"/>
              <w:ind w:left="57" w:right="57" w:firstLine="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1.1.</w:t>
            </w:r>
            <w:r>
              <w:rPr>
                <w:shd w:val="nil" w:color="auto" w:fill="auto"/>
                <w:rtl w:val="0"/>
                <w:lang w:val="ru-RU"/>
              </w:rPr>
              <w:t xml:space="preserve"> Полное фирменное наименование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для коммерческой организации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или наименование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для некоммерческой организации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эмитента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5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left="57" w:firstLine="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Публичное акционерное общество </w:t>
              <w:br w:type="textWrapping"/>
              <w:t>«РОСИНТЕР РЕСТОРАНТС ХОЛДИНГ»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Обычный"/>
              <w:ind w:left="57" w:right="57" w:firstLine="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1.2.</w:t>
            </w:r>
            <w:r>
              <w:rPr>
                <w:shd w:val="nil" w:color="auto" w:fill="auto"/>
                <w:rtl w:val="0"/>
                <w:lang w:val="ru-RU"/>
              </w:rPr>
              <w:t> Адрес эмитента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указанный в едином государственном реестре юридических лиц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5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Обычный"/>
              <w:ind w:left="57" w:right="57" w:firstLine="0"/>
              <w:jc w:val="both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111024,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г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Москва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ул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Душинская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д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. 7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стр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. 1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Обычный"/>
              <w:ind w:left="57" w:right="57" w:firstLine="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1.3.</w:t>
            </w:r>
            <w:r>
              <w:rPr>
                <w:shd w:val="nil" w:color="auto" w:fill="auto"/>
                <w:rtl w:val="0"/>
                <w:lang w:val="ru-RU"/>
              </w:rPr>
              <w:t xml:space="preserve"> Основной государственный регистрационный номер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ОГРН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эмитента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5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left="57" w:firstLine="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1047796362305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Обычный"/>
              <w:ind w:left="57" w:right="57" w:firstLine="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1.4.</w:t>
            </w:r>
            <w:r>
              <w:rPr>
                <w:shd w:val="nil" w:color="auto" w:fill="auto"/>
                <w:rtl w:val="0"/>
                <w:lang w:val="ru-RU"/>
              </w:rPr>
              <w:t xml:space="preserve"> Идентификационный номер налогоплательщика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ИНН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эмитента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5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left="57" w:firstLine="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7722514880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Обычный"/>
              <w:ind w:left="57" w:right="57" w:firstLine="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1.5.</w:t>
            </w:r>
            <w:r>
              <w:rPr>
                <w:shd w:val="nil" w:color="auto" w:fill="auto"/>
                <w:rtl w:val="0"/>
                <w:lang w:val="ru-RU"/>
              </w:rPr>
              <w:t> Уникальный код эмитента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присвоенный Банком России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5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left="57" w:firstLine="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55033-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Е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Обычный"/>
              <w:ind w:left="57" w:right="57" w:firstLine="0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1.6.</w:t>
            </w:r>
            <w:r>
              <w:rPr>
                <w:shd w:val="nil" w:color="auto" w:fill="auto"/>
                <w:rtl w:val="0"/>
                <w:lang w:val="ru-RU"/>
              </w:rPr>
              <w:t> Адрес страницы в сети «Интернет»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используемой эмитентом для раскрытия информации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5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left="57" w:firstLine="0"/>
            </w:pPr>
            <w:r>
              <w:rPr>
                <w:rStyle w:val="Hyperlink.0"/>
                <w:i w:val="1"/>
                <w:iCs w:val="1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i w:val="1"/>
                <w:iCs w:val="1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"http://www.rosinter.ru"</w:instrText>
            </w:r>
            <w:r>
              <w:rPr>
                <w:rStyle w:val="Hyperlink.0"/>
                <w:i w:val="1"/>
                <w:iCs w:val="1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i w:val="1"/>
                <w:iCs w:val="1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http://www.rosinter.ru</w:t>
            </w:r>
            <w:r>
              <w:rPr/>
              <w:fldChar w:fldCharType="end" w:fldLock="0"/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0"/>
                <w:i w:val="1"/>
                <w:iCs w:val="1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i w:val="1"/>
                <w:iCs w:val="1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"http://www.e-disclosure.ru/portal/company.aspx?id=9038"</w:instrText>
            </w:r>
            <w:r>
              <w:rPr>
                <w:rStyle w:val="Hyperlink.0"/>
                <w:i w:val="1"/>
                <w:iCs w:val="1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i w:val="1"/>
                <w:iCs w:val="1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http://www.e-disclosure.ru/portal/company.aspx?id=9038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top"/>
          </w:tcPr>
          <w:p>
            <w:pPr>
              <w:pStyle w:val="Обычный"/>
              <w:ind w:left="57" w:right="57" w:firstLine="0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1.7.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 Дата наступления события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существенного факта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о котором составлено сообщение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5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left="57" w:firstLine="0"/>
            </w:pPr>
            <w:r>
              <w:rPr>
                <w:rStyle w:val="Нет"/>
                <w:b w:val="1"/>
                <w:bCs w:val="1"/>
                <w:i w:val="1"/>
                <w:iCs w:val="1"/>
                <w:rtl w:val="0"/>
                <w:lang w:val="ru-RU"/>
              </w:rPr>
              <w:t>29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03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.202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4</w:t>
            </w:r>
          </w:p>
        </w:tc>
      </w:tr>
    </w:tbl>
    <w:p>
      <w:pPr>
        <w:pStyle w:val="Обычный"/>
        <w:widowControl w:val="0"/>
        <w:ind w:left="108" w:hanging="108"/>
        <w:jc w:val="center"/>
        <w:rPr>
          <w:rStyle w:val="Нет"/>
          <w:b w:val="1"/>
          <w:bCs w:val="1"/>
          <w:sz w:val="18"/>
          <w:szCs w:val="18"/>
        </w:rPr>
      </w:pPr>
    </w:p>
    <w:p>
      <w:pPr>
        <w:pStyle w:val="Обычный"/>
        <w:widowControl w:val="0"/>
        <w:jc w:val="center"/>
        <w:rPr>
          <w:rStyle w:val="Нет"/>
          <w:b w:val="1"/>
          <w:bCs w:val="1"/>
          <w:sz w:val="18"/>
          <w:szCs w:val="18"/>
        </w:rPr>
      </w:pPr>
    </w:p>
    <w:p>
      <w:pPr>
        <w:pStyle w:val="Обычный"/>
        <w:rPr>
          <w:rStyle w:val="Нет A"/>
          <w:sz w:val="18"/>
          <w:szCs w:val="18"/>
        </w:rPr>
      </w:pPr>
    </w:p>
    <w:tbl>
      <w:tblPr>
        <w:tblW w:w="10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32"/>
      </w:tblGrid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10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Содержание сообщения</w:t>
            </w:r>
          </w:p>
        </w:tc>
      </w:tr>
      <w:tr>
        <w:tblPrEx>
          <w:shd w:val="clear" w:color="auto" w:fill="ced7e7"/>
        </w:tblPrEx>
        <w:trPr>
          <w:trHeight w:val="3282" w:hRule="atLeast"/>
        </w:trPr>
        <w:tc>
          <w:tcPr>
            <w:tcW w:type="dxa" w:w="10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spacing w:before="60"/>
              <w:ind w:left="57" w:right="113" w:firstLine="0"/>
              <w:jc w:val="both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2.1.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дата принятия председателем совета директоров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наблюдательного совета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эмитента решения о проведении заседания совета директоров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наблюдательного совета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эмитента или дата принятия иного решения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которое в соответствии с уставом эмитента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его внутренними документами или обычаями делового оборота является основанием для проведения заседания совета директоров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наблюдательного совета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эмитента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29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марта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 2024 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года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spacing w:before="60"/>
              <w:ind w:left="57" w:right="113" w:firstLine="0"/>
              <w:jc w:val="both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2.2.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дата проведения заседания совета директоров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наблюдательного совета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эмитента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04 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апреля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 2024 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года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spacing w:before="60"/>
              <w:ind w:left="57" w:right="113" w:firstLine="0"/>
              <w:jc w:val="both"/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2.3.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повестка дня заседания совета директоров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наблюдательного совета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эмитента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Обычный"/>
              <w:bidi w:val="0"/>
              <w:ind w:left="57" w:right="57" w:firstLine="0"/>
              <w:jc w:val="left"/>
              <w:rPr>
                <w:b w:val="1"/>
                <w:bCs w:val="1"/>
                <w:i w:val="1"/>
                <w:iCs w:val="1"/>
                <w:rtl w:val="0"/>
              </w:rPr>
            </w:pP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Определение цены имущества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 xml:space="preserve">отчуждаемого 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(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могущего быть отчужденным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 xml:space="preserve">) 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по сделке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в совершении которой имеется заинтересованность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ind w:left="57" w:right="57" w:firstLine="0"/>
              <w:jc w:val="left"/>
              <w:rPr>
                <w:b w:val="1"/>
                <w:bCs w:val="1"/>
                <w:i w:val="1"/>
                <w:iCs w:val="1"/>
                <w:rtl w:val="0"/>
              </w:rPr>
            </w:pP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 xml:space="preserve">2. 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Одобрение сделки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в совершении которой имеется заинтересованность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 xml:space="preserve">, - 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Договора поручительства № 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457/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С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-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А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-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ПЮ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 xml:space="preserve">-2/24 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с ПАО «Совкомбанк»</w:t>
            </w:r>
            <w:r>
              <w:rPr>
                <w:b w:val="1"/>
                <w:bCs w:val="1"/>
                <w:i w:val="1"/>
                <w:iCs w:val="1"/>
                <w:rtl w:val="0"/>
                <w:lang w:val="ru-RU"/>
              </w:rPr>
              <w:t>.</w:t>
            </w:r>
          </w:p>
          <w:p>
            <w:pPr>
              <w:pStyle w:val="Основно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Обычный"/>
              <w:bidi w:val="0"/>
              <w:ind w:left="57" w:right="57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lang w:val="ru-RU"/>
              </w:rPr>
            </w:r>
          </w:p>
        </w:tc>
      </w:tr>
    </w:tbl>
    <w:p>
      <w:pPr>
        <w:pStyle w:val="Обычный"/>
        <w:widowControl w:val="0"/>
        <w:ind w:left="108" w:hanging="108"/>
        <w:rPr>
          <w:rStyle w:val="Нет A"/>
          <w:sz w:val="18"/>
          <w:szCs w:val="18"/>
        </w:rPr>
      </w:pPr>
    </w:p>
    <w:p>
      <w:pPr>
        <w:pStyle w:val="Обычный"/>
        <w:widowControl w:val="0"/>
        <w:rPr>
          <w:rStyle w:val="Нет A"/>
          <w:sz w:val="18"/>
          <w:szCs w:val="18"/>
        </w:rPr>
      </w:pPr>
    </w:p>
    <w:p>
      <w:pPr>
        <w:pStyle w:val="Обычный"/>
        <w:rPr>
          <w:rStyle w:val="Нет A"/>
          <w:sz w:val="18"/>
          <w:szCs w:val="18"/>
        </w:rPr>
      </w:pPr>
    </w:p>
    <w:tbl>
      <w:tblPr>
        <w:tblW w:w="10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56"/>
        <w:gridCol w:w="2160"/>
        <w:gridCol w:w="180"/>
        <w:gridCol w:w="3236"/>
      </w:tblGrid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1063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Подпись</w:t>
            </w:r>
          </w:p>
        </w:tc>
      </w:tr>
      <w:tr>
        <w:tblPrEx>
          <w:shd w:val="clear" w:color="auto" w:fill="ced7e7"/>
        </w:tblPrEx>
        <w:trPr>
          <w:trHeight w:val="657" w:hRule="atLeast"/>
        </w:trPr>
        <w:tc>
          <w:tcPr>
            <w:tcW w:type="dxa" w:w="505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ind w:left="57" w:firstLine="0"/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rStyle w:val="Нет"/>
                <w:b w:val="0"/>
                <w:bCs w:val="0"/>
                <w:i w:val="0"/>
                <w:iCs w:val="0"/>
                <w:shd w:val="nil" w:color="auto" w:fill="auto"/>
                <w:rtl w:val="0"/>
                <w:lang w:val="ru-RU"/>
              </w:rPr>
              <w:t xml:space="preserve">3.1. 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Президент  </w:t>
            </w:r>
          </w:p>
          <w:p>
            <w:pPr>
              <w:pStyle w:val="Обычный"/>
              <w:bidi w:val="0"/>
              <w:ind w:left="57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ПАО «РОСИНТЕР РЕСТОРАНТС ХОЛДИНГ»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416"/>
            <w:gridSpan w:val="2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5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ind w:left="270" w:firstLine="0"/>
            </w:pP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Костеева М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05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4"/>
                <w:szCs w:val="1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14"/>
                <w:szCs w:val="14"/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rStyle w:val="Нет"/>
                <w:sz w:val="14"/>
                <w:szCs w:val="1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505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ind w:left="57" w:firstLine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3.2.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Дата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«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01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апреля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 2024 </w:t>
            </w: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6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416"/>
            <w:gridSpan w:val="2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Обычный"/>
        <w:widowControl w:val="0"/>
        <w:ind w:left="108" w:hanging="108"/>
      </w:pPr>
      <w:r>
        <w:rPr>
          <w:rStyle w:val="Нет A"/>
          <w:sz w:val="18"/>
          <w:szCs w:val="18"/>
        </w:rPr>
      </w:r>
    </w:p>
    <w:sectPr>
      <w:headerReference w:type="default" r:id="rId4"/>
      <w:footerReference w:type="default" r:id="rId5"/>
      <w:pgSz w:w="11900" w:h="16840" w:orient="portrait"/>
      <w:pgMar w:top="567" w:right="851" w:bottom="567" w:left="1134" w:header="397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i w:val="1"/>
      <w:iCs w:val="1"/>
      <w:outline w:val="0"/>
      <w:color w:val="0000ff"/>
      <w:u w:val="single" w:color="0000ff"/>
      <w:shd w:val="nil" w:color="auto" w:fill="auto"/>
      <w:lang w:val="ru-RU"/>
      <w14:textFill>
        <w14:solidFill>
          <w14:srgbClr w14:val="0000FF"/>
        </w14:solidFill>
      </w14:textFill>
    </w:rPr>
  </w:style>
  <w:style w:type="character" w:styleId="Нет A">
    <w:name w:val="Нет A"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